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72" w:rsidRPr="005E41F6" w:rsidRDefault="005E41F6" w:rsidP="00F6041B">
      <w:pPr>
        <w:pStyle w:val="Heading1"/>
        <w:rPr>
          <w:sz w:val="56"/>
        </w:rPr>
      </w:pPr>
      <w:bookmarkStart w:id="0" w:name="_GoBack"/>
      <w:bookmarkEnd w:id="0"/>
      <w:r w:rsidRPr="005E41F6">
        <w:rPr>
          <w:color w:val="A6A6A6" w:themeColor="background1" w:themeShade="A6"/>
          <w:sz w:val="56"/>
          <w:lang w:val="en-CA" w:eastAsia="en-CA"/>
        </w:rPr>
        <w:t>Governance and Communication</w:t>
      </w:r>
      <w:r w:rsidR="008E3587" w:rsidRPr="005E41F6">
        <w:rPr>
          <w:color w:val="A6A6A6" w:themeColor="background1" w:themeShade="A6"/>
          <w:sz w:val="56"/>
        </w:rPr>
        <w:drawing>
          <wp:anchor distT="0" distB="0" distL="114300" distR="114300" simplePos="0" relativeHeight="251658240" behindDoc="1" locked="0" layoutInCell="1" allowOverlap="1" wp14:anchorId="2E1CC512" wp14:editId="20C10D92">
            <wp:simplePos x="0" y="0"/>
            <wp:positionH relativeFrom="column">
              <wp:posOffset>-1637665</wp:posOffset>
            </wp:positionH>
            <wp:positionV relativeFrom="paragraph">
              <wp:posOffset>-1478153</wp:posOffset>
            </wp:positionV>
            <wp:extent cx="7858125" cy="2300605"/>
            <wp:effectExtent l="0" t="0" r="952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 Wav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41B" w:rsidRPr="005E41F6">
        <w:rPr>
          <w:color w:val="A6A6A6" w:themeColor="background1" w:themeShade="A6"/>
          <w:sz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85620" wp14:editId="7D6CFE96">
                <wp:simplePos x="0" y="0"/>
                <wp:positionH relativeFrom="column">
                  <wp:posOffset>-2343785</wp:posOffset>
                </wp:positionH>
                <wp:positionV relativeFrom="paragraph">
                  <wp:posOffset>916178</wp:posOffset>
                </wp:positionV>
                <wp:extent cx="2374265" cy="2743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587" w:rsidRDefault="008E35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37BB6" wp14:editId="0EDDCF09">
                                  <wp:extent cx="4475773" cy="2983848"/>
                                  <wp:effectExtent l="0" t="0" r="127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1497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5773" cy="2983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4.55pt;margin-top:72.15pt;width:186.95pt;height:3in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" filled="f" stroked="f">
                <v:textbox>
                  <w:txbxContent>
                    <w:p w:rsidR="008E3587" w:rsidRDefault="008E3587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3F37BB6" wp14:editId="0EDDCF09">
                            <wp:extent cx="4475773" cy="2983848"/>
                            <wp:effectExtent l="0" t="0" r="127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1497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5773" cy="2983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41F6" w:rsidRPr="008C1B7E" w:rsidRDefault="005E41F6" w:rsidP="00E75F9B">
      <w:pPr>
        <w:pStyle w:val="NormalText"/>
      </w:pPr>
      <w:r w:rsidRPr="008C1B7E">
        <w:t xml:space="preserve">In the Northwest Territories (NWT), the </w:t>
      </w:r>
      <w:r w:rsidRPr="008C1B7E">
        <w:rPr>
          <w:rFonts w:ascii="Cambria-Italic" w:hAnsi="Cambria-Italic" w:cs="Cambria-Italic"/>
          <w:i/>
          <w:iCs/>
        </w:rPr>
        <w:t xml:space="preserve">Education Act </w:t>
      </w:r>
      <w:r w:rsidRPr="008C1B7E">
        <w:t>gives</w:t>
      </w:r>
      <w:r>
        <w:t xml:space="preserve"> District Education Authorities </w:t>
      </w:r>
      <w:r w:rsidRPr="008C1B7E">
        <w:t xml:space="preserve">(DEAs) and Divisional Education Councils (DECs) the </w:t>
      </w:r>
      <w:r w:rsidRPr="008C1B7E">
        <w:rPr>
          <w:rFonts w:ascii="Cambria-Bold" w:hAnsi="Cambria-Bold" w:cs="Cambria-Bold"/>
          <w:b/>
          <w:bCs/>
        </w:rPr>
        <w:t xml:space="preserve">legislative authority </w:t>
      </w:r>
      <w:r>
        <w:t xml:space="preserve">(legal power) to </w:t>
      </w:r>
      <w:r w:rsidRPr="008C1B7E">
        <w:t>provide leadership and guidance to the educational community.</w:t>
      </w:r>
    </w:p>
    <w:p w:rsidR="005E41F6" w:rsidRPr="008C1B7E" w:rsidRDefault="005E41F6" w:rsidP="00E75F9B">
      <w:pPr>
        <w:pStyle w:val="NormalText"/>
      </w:pPr>
      <w:r w:rsidRPr="008C1B7E">
        <w:t>NWT DEAs and DECs provide each NWT community with the authority</w:t>
      </w:r>
      <w:r>
        <w:t xml:space="preserve"> to meet the educational </w:t>
      </w:r>
      <w:r w:rsidRPr="008C1B7E">
        <w:t>and cultural needs of students in the NWT in the JK-12 education system.</w:t>
      </w:r>
    </w:p>
    <w:p w:rsidR="005E41F6" w:rsidRPr="0049360B" w:rsidRDefault="005E41F6" w:rsidP="00E75F9B">
      <w:pPr>
        <w:pStyle w:val="Heading2"/>
      </w:pPr>
      <w:r w:rsidRPr="0049360B">
        <w:t>WHAT IS A DISTRICT EDUCATION AUTHORITY?</w:t>
      </w:r>
    </w:p>
    <w:p w:rsidR="005E41F6" w:rsidRPr="008C1B7E" w:rsidRDefault="005E41F6" w:rsidP="00E75F9B">
      <w:pPr>
        <w:pStyle w:val="NormalText"/>
      </w:pPr>
      <w:r w:rsidRPr="008C1B7E">
        <w:t>The District Education Authorities (DEAs) are compo</w:t>
      </w:r>
      <w:r>
        <w:t xml:space="preserve">sed of elected and/or appointed </w:t>
      </w:r>
      <w:r w:rsidRPr="008C1B7E">
        <w:t xml:space="preserve">individuals who represent their community’s interests </w:t>
      </w:r>
      <w:r>
        <w:t xml:space="preserve">in the planning and delivery of </w:t>
      </w:r>
      <w:r w:rsidRPr="008C1B7E">
        <w:t>educational programming in their school(s).</w:t>
      </w:r>
    </w:p>
    <w:p w:rsidR="005E41F6" w:rsidRPr="0049360B" w:rsidRDefault="005E41F6" w:rsidP="00E75F9B">
      <w:pPr>
        <w:pStyle w:val="Heading2"/>
      </w:pPr>
      <w:r w:rsidRPr="0049360B">
        <w:t>WHAT IS A DIVISIONAL EDUCATION COUNCIL?</w:t>
      </w:r>
    </w:p>
    <w:p w:rsidR="005E41F6" w:rsidRPr="008C1B7E" w:rsidRDefault="005E41F6" w:rsidP="00E75F9B">
      <w:pPr>
        <w:pStyle w:val="NormalText"/>
      </w:pPr>
      <w:r w:rsidRPr="008C1B7E">
        <w:t>Each Divisional Education Council (DEC) is compo</w:t>
      </w:r>
      <w:r>
        <w:t xml:space="preserve">sed of one DEA member from each </w:t>
      </w:r>
      <w:r w:rsidRPr="008C1B7E">
        <w:t>community within the region. There may be additiona</w:t>
      </w:r>
      <w:r>
        <w:t xml:space="preserve">l members representing regional </w:t>
      </w:r>
      <w:r w:rsidRPr="008C1B7E">
        <w:t>organizations who also sit on the DEC. The DEC is jointly res</w:t>
      </w:r>
      <w:r>
        <w:t xml:space="preserve">ponsible for the governance and </w:t>
      </w:r>
      <w:r w:rsidRPr="008C1B7E">
        <w:t>direction of schools in their region.</w:t>
      </w:r>
    </w:p>
    <w:p w:rsidR="005E41F6" w:rsidRPr="008C1B7E" w:rsidRDefault="005E41F6" w:rsidP="00E75F9B">
      <w:pPr>
        <w:pStyle w:val="NormalText"/>
      </w:pPr>
      <w:r w:rsidRPr="008C1B7E">
        <w:t>DECs have been established for the:</w:t>
      </w:r>
    </w:p>
    <w:p w:rsidR="005E41F6" w:rsidRPr="008C1B7E" w:rsidRDefault="005E41F6" w:rsidP="00E75F9B">
      <w:pPr>
        <w:pStyle w:val="NoSpacing"/>
        <w:numPr>
          <w:ilvl w:val="0"/>
          <w:numId w:val="6"/>
        </w:numPr>
      </w:pPr>
      <w:r w:rsidRPr="008C1B7E">
        <w:t>Beaufort Delta</w:t>
      </w:r>
    </w:p>
    <w:p w:rsidR="005E41F6" w:rsidRPr="008C1B7E" w:rsidRDefault="005E41F6" w:rsidP="00E75F9B">
      <w:pPr>
        <w:pStyle w:val="NoSpacing"/>
        <w:numPr>
          <w:ilvl w:val="0"/>
          <w:numId w:val="6"/>
        </w:numPr>
      </w:pPr>
      <w:r w:rsidRPr="008C1B7E">
        <w:t>Sahtu</w:t>
      </w:r>
    </w:p>
    <w:p w:rsidR="005E41F6" w:rsidRPr="008C1B7E" w:rsidRDefault="005E41F6" w:rsidP="00E75F9B">
      <w:pPr>
        <w:pStyle w:val="NoSpacing"/>
        <w:numPr>
          <w:ilvl w:val="0"/>
          <w:numId w:val="6"/>
        </w:numPr>
      </w:pPr>
      <w:r w:rsidRPr="008C1B7E">
        <w:t>Dehcho</w:t>
      </w:r>
    </w:p>
    <w:p w:rsidR="005E41F6" w:rsidRPr="008C1B7E" w:rsidRDefault="005E41F6" w:rsidP="00E75F9B">
      <w:pPr>
        <w:pStyle w:val="NoSpacing"/>
        <w:numPr>
          <w:ilvl w:val="0"/>
          <w:numId w:val="6"/>
        </w:numPr>
      </w:pPr>
      <w:r w:rsidRPr="008C1B7E">
        <w:t>South Slave</w:t>
      </w:r>
    </w:p>
    <w:p w:rsidR="005E41F6" w:rsidRPr="008C1B7E" w:rsidRDefault="005E41F6" w:rsidP="00E75F9B">
      <w:pPr>
        <w:pStyle w:val="NormalText"/>
        <w:numPr>
          <w:ilvl w:val="0"/>
          <w:numId w:val="6"/>
        </w:numPr>
      </w:pPr>
      <w:r w:rsidRPr="008C1B7E">
        <w:t>Commission scolaire francophone des Territoires du Nord-Ouest</w:t>
      </w:r>
    </w:p>
    <w:p w:rsidR="005E41F6" w:rsidRPr="008C1B7E" w:rsidRDefault="005E41F6" w:rsidP="00E75F9B">
      <w:pPr>
        <w:pStyle w:val="NormalText"/>
      </w:pPr>
      <w:r w:rsidRPr="008C1B7E">
        <w:t xml:space="preserve">The Tłı̨chǫ Community Services Agency (TCSA) operates with </w:t>
      </w:r>
      <w:r>
        <w:t xml:space="preserve">the authority of a DEC and each </w:t>
      </w:r>
      <w:r w:rsidRPr="008C1B7E">
        <w:t>Tłı̨chǫ community has representation on the TCSA. However, each Tłı̨chǫ</w:t>
      </w:r>
      <w:r>
        <w:t xml:space="preserve"> community does not </w:t>
      </w:r>
      <w:r w:rsidRPr="008C1B7E">
        <w:t>have a DEA.</w:t>
      </w:r>
    </w:p>
    <w:p w:rsidR="005E41F6" w:rsidRPr="008C1B7E" w:rsidRDefault="005E41F6" w:rsidP="00E75F9B">
      <w:pPr>
        <w:pStyle w:val="NormalText"/>
      </w:pPr>
      <w:r w:rsidRPr="008C1B7E">
        <w:t>In Yellowknife, the Yellowknife Education District No.1 (YK1) and the Yellowknife Public</w:t>
      </w:r>
    </w:p>
    <w:p w:rsidR="005E41F6" w:rsidRDefault="005E41F6" w:rsidP="00E75F9B">
      <w:pPr>
        <w:pStyle w:val="NormalText"/>
      </w:pPr>
      <w:r w:rsidRPr="008C1B7E">
        <w:t xml:space="preserve">Denomination District (Yellowknife Catholic Schools (YCS)) </w:t>
      </w:r>
      <w:r>
        <w:t xml:space="preserve">operate with the authority of a </w:t>
      </w:r>
      <w:r w:rsidRPr="008C1B7E">
        <w:t>DEA. These are the only two education bodies with the ability t</w:t>
      </w:r>
      <w:r>
        <w:t xml:space="preserve">o raise operating funds through </w:t>
      </w:r>
      <w:r w:rsidRPr="008C1B7E">
        <w:t>taxation. The Dettah and Ndilǫ DEAs are the most recently e</w:t>
      </w:r>
      <w:r>
        <w:t xml:space="preserve">stablished education bodies and </w:t>
      </w:r>
      <w:r w:rsidRPr="008C1B7E">
        <w:t>they contract their superintendency throug</w:t>
      </w:r>
      <w:r>
        <w:t>h YK1.</w:t>
      </w:r>
    </w:p>
    <w:p w:rsidR="005E41F6" w:rsidRPr="0049360B" w:rsidRDefault="005E41F6" w:rsidP="00E75F9B">
      <w:pPr>
        <w:pStyle w:val="Heading2"/>
      </w:pPr>
      <w:r w:rsidRPr="0049360B">
        <w:lastRenderedPageBreak/>
        <w:t>WHAT IS AN EDUCATION BODY?</w:t>
      </w:r>
    </w:p>
    <w:p w:rsidR="005E41F6" w:rsidRPr="008C1B7E" w:rsidRDefault="005E41F6" w:rsidP="00E75F9B">
      <w:pPr>
        <w:pStyle w:val="NormalText"/>
      </w:pPr>
      <w:r w:rsidRPr="008C1B7E">
        <w:t>DEAs, DECs, and the TCSA are considered Education Bodies and</w:t>
      </w:r>
      <w:r>
        <w:t xml:space="preserve"> are referred to as such in the </w:t>
      </w:r>
      <w:r w:rsidRPr="008C1B7E">
        <w:rPr>
          <w:rFonts w:ascii="Cambria-Italic" w:hAnsi="Cambria-Italic" w:cs="Cambria-Italic"/>
          <w:i/>
          <w:iCs/>
        </w:rPr>
        <w:t>Education Act.</w:t>
      </w:r>
    </w:p>
    <w:p w:rsidR="005E41F6" w:rsidRPr="0049360B" w:rsidRDefault="005E41F6" w:rsidP="00E75F9B">
      <w:pPr>
        <w:pStyle w:val="Heading2"/>
      </w:pPr>
      <w:r w:rsidRPr="0049360B">
        <w:t>WHAT IS A SCHOOL BOARD?</w:t>
      </w:r>
    </w:p>
    <w:p w:rsidR="005E41F6" w:rsidRPr="008C1B7E" w:rsidRDefault="005E41F6" w:rsidP="00E75F9B">
      <w:pPr>
        <w:pStyle w:val="NormalText"/>
      </w:pPr>
      <w:r w:rsidRPr="008C1B7E">
        <w:t>School boards, as a legal entity, do not exist in the NWT. However, the term “school board”</w:t>
      </w:r>
      <w:r>
        <w:t xml:space="preserve"> is </w:t>
      </w:r>
      <w:r w:rsidRPr="008C1B7E">
        <w:t>sometimes used to describe a DEA/DEC and office staff.</w:t>
      </w:r>
    </w:p>
    <w:p w:rsidR="005E41F6" w:rsidRPr="0049360B" w:rsidRDefault="005E41F6" w:rsidP="00E75F9B">
      <w:pPr>
        <w:pStyle w:val="Heading2"/>
      </w:pPr>
      <w:r w:rsidRPr="0049360B">
        <w:t>WHERE DO DEAs AND DECs GET THEIR</w:t>
      </w:r>
      <w:r>
        <w:t xml:space="preserve"> </w:t>
      </w:r>
      <w:r w:rsidRPr="0049360B">
        <w:t>AUTHORITY?</w:t>
      </w:r>
    </w:p>
    <w:p w:rsidR="005E41F6" w:rsidRDefault="005E41F6" w:rsidP="00E75F9B">
      <w:pPr>
        <w:pStyle w:val="NormalText"/>
      </w:pPr>
      <w:r w:rsidRPr="008C1B7E">
        <w:t xml:space="preserve">DEAs and DECs get their authority from the </w:t>
      </w:r>
      <w:r w:rsidRPr="008C1B7E">
        <w:rPr>
          <w:rFonts w:ascii="Cambria-Italic" w:hAnsi="Cambria-Italic" w:cs="Cambria-Italic"/>
          <w:i/>
          <w:iCs/>
        </w:rPr>
        <w:t xml:space="preserve">Education Act </w:t>
      </w:r>
      <w:r w:rsidRPr="008C1B7E">
        <w:t>of th</w:t>
      </w:r>
      <w:r>
        <w:t xml:space="preserve">e Northwest Territories, passed </w:t>
      </w:r>
      <w:r w:rsidRPr="008C1B7E">
        <w:t xml:space="preserve">by the Legislative Assembly in 1995, which came into effect on July 1, 1996. The </w:t>
      </w:r>
      <w:r w:rsidRPr="008C1B7E">
        <w:rPr>
          <w:rFonts w:ascii="Cambria-Italic" w:hAnsi="Cambria-Italic" w:cs="Cambria-Italic"/>
          <w:i/>
          <w:iCs/>
        </w:rPr>
        <w:t xml:space="preserve">Act </w:t>
      </w:r>
      <w:r w:rsidRPr="008C1B7E">
        <w:t>provides</w:t>
      </w:r>
      <w:r>
        <w:t xml:space="preserve"> </w:t>
      </w:r>
      <w:r w:rsidRPr="008C1B7E">
        <w:t>communities with more independence to develop educa</w:t>
      </w:r>
      <w:r>
        <w:t xml:space="preserve">tional programming in the JK-12 </w:t>
      </w:r>
      <w:r w:rsidRPr="008C1B7E">
        <w:t>system so that the culture and language of each community can be reflected in its school(s).</w:t>
      </w:r>
    </w:p>
    <w:p w:rsidR="005E41F6" w:rsidRPr="008C1B7E" w:rsidRDefault="005E41F6" w:rsidP="00E75F9B">
      <w:pPr>
        <w:pStyle w:val="Heading2"/>
      </w:pPr>
      <w:bookmarkStart w:id="1" w:name="bookmark0"/>
      <w:bookmarkEnd w:id="1"/>
      <w:r w:rsidRPr="008C1B7E">
        <w:rPr>
          <w:spacing w:val="11"/>
        </w:rPr>
        <w:t>KEY</w:t>
      </w:r>
      <w:r w:rsidRPr="008C1B7E">
        <w:rPr>
          <w:spacing w:val="8"/>
        </w:rPr>
        <w:t xml:space="preserve"> </w:t>
      </w:r>
      <w:r w:rsidRPr="008C1B7E">
        <w:t>RESPONSIBILITIES</w:t>
      </w:r>
      <w:r w:rsidRPr="008C1B7E">
        <w:rPr>
          <w:spacing w:val="8"/>
        </w:rPr>
        <w:t xml:space="preserve"> </w:t>
      </w:r>
      <w:r w:rsidRPr="008C1B7E">
        <w:rPr>
          <w:spacing w:val="7"/>
        </w:rPr>
        <w:t>OF</w:t>
      </w:r>
      <w:r w:rsidRPr="008C1B7E">
        <w:rPr>
          <w:spacing w:val="9"/>
        </w:rPr>
        <w:t xml:space="preserve"> </w:t>
      </w:r>
      <w:r w:rsidRPr="008C1B7E">
        <w:rPr>
          <w:spacing w:val="10"/>
        </w:rPr>
        <w:t>THE</w:t>
      </w:r>
      <w:r w:rsidRPr="008C1B7E">
        <w:rPr>
          <w:spacing w:val="8"/>
        </w:rPr>
        <w:t xml:space="preserve"> </w:t>
      </w:r>
      <w:r w:rsidRPr="008C1B7E">
        <w:rPr>
          <w:spacing w:val="11"/>
        </w:rPr>
        <w:t>DEA</w:t>
      </w:r>
      <w:r w:rsidRPr="008C1B7E">
        <w:rPr>
          <w:spacing w:val="10"/>
        </w:rPr>
        <w:t>s</w:t>
      </w:r>
    </w:p>
    <w:p w:rsidR="005E41F6" w:rsidRPr="008C1B7E" w:rsidRDefault="005E41F6" w:rsidP="00E75F9B">
      <w:pPr>
        <w:pStyle w:val="NoSpacing"/>
        <w:numPr>
          <w:ilvl w:val="0"/>
          <w:numId w:val="7"/>
        </w:numPr>
        <w:rPr>
          <w:color w:val="000000"/>
        </w:rPr>
      </w:pPr>
      <w:r w:rsidRPr="008C1B7E">
        <w:t>Establish goals, objectives and local policy</w:t>
      </w:r>
      <w:r>
        <w:t xml:space="preserve"> </w:t>
      </w:r>
      <w:r w:rsidRPr="008C1B7E">
        <w:t>for</w:t>
      </w:r>
      <w:r w:rsidRPr="008C1B7E">
        <w:rPr>
          <w:spacing w:val="-5"/>
        </w:rPr>
        <w:t xml:space="preserve"> </w:t>
      </w:r>
      <w:r w:rsidRPr="008C1B7E">
        <w:t>the</w:t>
      </w:r>
      <w:r w:rsidRPr="008C1B7E">
        <w:rPr>
          <w:spacing w:val="-4"/>
        </w:rPr>
        <w:t xml:space="preserve"> </w:t>
      </w:r>
      <w:r w:rsidRPr="008C1B7E">
        <w:t>DEA</w:t>
      </w:r>
    </w:p>
    <w:p w:rsidR="005E41F6" w:rsidRPr="008C1B7E" w:rsidRDefault="005E41F6" w:rsidP="00E75F9B">
      <w:pPr>
        <w:pStyle w:val="NoSpacing"/>
        <w:numPr>
          <w:ilvl w:val="0"/>
          <w:numId w:val="7"/>
        </w:numPr>
        <w:rPr>
          <w:color w:val="000000"/>
        </w:rPr>
      </w:pPr>
      <w:r w:rsidRPr="008C1B7E">
        <w:rPr>
          <w:spacing w:val="-2"/>
        </w:rPr>
        <w:t>Make</w:t>
      </w:r>
      <w:r w:rsidRPr="008C1B7E">
        <w:t xml:space="preserve"> budgetary decisions</w:t>
      </w:r>
    </w:p>
    <w:p w:rsidR="005E41F6" w:rsidRPr="008C1B7E" w:rsidRDefault="005E41F6" w:rsidP="00E75F9B">
      <w:pPr>
        <w:pStyle w:val="NoSpacing"/>
        <w:numPr>
          <w:ilvl w:val="0"/>
          <w:numId w:val="7"/>
        </w:numPr>
        <w:rPr>
          <w:color w:val="000000"/>
        </w:rPr>
      </w:pPr>
      <w:r w:rsidRPr="008C1B7E">
        <w:rPr>
          <w:spacing w:val="-2"/>
        </w:rPr>
        <w:t xml:space="preserve">Advise </w:t>
      </w:r>
      <w:r w:rsidRPr="008C1B7E">
        <w:t>the</w:t>
      </w:r>
      <w:r w:rsidRPr="008C1B7E">
        <w:rPr>
          <w:spacing w:val="-2"/>
        </w:rPr>
        <w:t xml:space="preserve"> </w:t>
      </w:r>
      <w:r w:rsidRPr="008C1B7E">
        <w:t>Superintendent</w:t>
      </w:r>
      <w:r w:rsidRPr="008C1B7E">
        <w:rPr>
          <w:spacing w:val="-4"/>
        </w:rPr>
        <w:t xml:space="preserve"> </w:t>
      </w:r>
      <w:r w:rsidRPr="008C1B7E">
        <w:t>in</w:t>
      </w:r>
      <w:r w:rsidRPr="008C1B7E">
        <w:rPr>
          <w:spacing w:val="-3"/>
        </w:rPr>
        <w:t xml:space="preserve"> </w:t>
      </w:r>
      <w:r w:rsidRPr="008C1B7E">
        <w:t>the</w:t>
      </w:r>
      <w:r w:rsidRPr="008C1B7E">
        <w:rPr>
          <w:spacing w:val="-2"/>
        </w:rPr>
        <w:t xml:space="preserve"> </w:t>
      </w:r>
      <w:r w:rsidRPr="008C1B7E">
        <w:t>hiring</w:t>
      </w:r>
      <w:r w:rsidRPr="008C1B7E">
        <w:rPr>
          <w:spacing w:val="-3"/>
        </w:rPr>
        <w:t xml:space="preserve"> </w:t>
      </w:r>
      <w:r w:rsidRPr="008C1B7E">
        <w:t>of</w:t>
      </w:r>
      <w:r w:rsidRPr="008C1B7E">
        <w:rPr>
          <w:spacing w:val="25"/>
          <w:w w:val="99"/>
        </w:rPr>
        <w:t xml:space="preserve"> </w:t>
      </w:r>
      <w:r w:rsidRPr="008C1B7E">
        <w:t>education</w:t>
      </w:r>
      <w:r w:rsidRPr="008C1B7E">
        <w:rPr>
          <w:spacing w:val="-5"/>
        </w:rPr>
        <w:t xml:space="preserve"> </w:t>
      </w:r>
      <w:r w:rsidRPr="008C1B7E">
        <w:t>and</w:t>
      </w:r>
      <w:r w:rsidRPr="008C1B7E">
        <w:rPr>
          <w:spacing w:val="-3"/>
        </w:rPr>
        <w:t xml:space="preserve"> </w:t>
      </w:r>
      <w:r w:rsidRPr="008C1B7E">
        <w:t>school</w:t>
      </w:r>
      <w:r w:rsidRPr="008C1B7E">
        <w:rPr>
          <w:spacing w:val="-5"/>
        </w:rPr>
        <w:t xml:space="preserve"> </w:t>
      </w:r>
      <w:r w:rsidRPr="008C1B7E">
        <w:t>staff</w:t>
      </w:r>
    </w:p>
    <w:p w:rsidR="005E41F6" w:rsidRPr="008C1B7E" w:rsidRDefault="005E41F6" w:rsidP="00E75F9B">
      <w:pPr>
        <w:pStyle w:val="NoSpacing"/>
        <w:numPr>
          <w:ilvl w:val="0"/>
          <w:numId w:val="7"/>
        </w:numPr>
        <w:rPr>
          <w:color w:val="000000"/>
        </w:rPr>
      </w:pPr>
      <w:r w:rsidRPr="008C1B7E">
        <w:rPr>
          <w:spacing w:val="-2"/>
        </w:rPr>
        <w:t xml:space="preserve">Operate </w:t>
      </w:r>
      <w:r w:rsidRPr="008C1B7E">
        <w:t>within</w:t>
      </w:r>
      <w:r w:rsidRPr="008C1B7E">
        <w:rPr>
          <w:spacing w:val="-2"/>
        </w:rPr>
        <w:t xml:space="preserve"> federal, </w:t>
      </w:r>
      <w:r w:rsidRPr="008C1B7E">
        <w:t>territorial</w:t>
      </w:r>
      <w:r w:rsidRPr="008C1B7E">
        <w:rPr>
          <w:spacing w:val="-2"/>
        </w:rPr>
        <w:t xml:space="preserve"> </w:t>
      </w:r>
      <w:r w:rsidRPr="008C1B7E">
        <w:t>and</w:t>
      </w:r>
      <w:r>
        <w:t xml:space="preserve"> </w:t>
      </w:r>
      <w:r w:rsidRPr="008C1B7E">
        <w:t>municipal</w:t>
      </w:r>
      <w:r w:rsidRPr="008C1B7E">
        <w:rPr>
          <w:spacing w:val="-2"/>
        </w:rPr>
        <w:t xml:space="preserve"> laws</w:t>
      </w:r>
    </w:p>
    <w:p w:rsidR="005E41F6" w:rsidRPr="008C1B7E" w:rsidRDefault="005E41F6" w:rsidP="00E75F9B">
      <w:pPr>
        <w:pStyle w:val="NoSpacing"/>
        <w:numPr>
          <w:ilvl w:val="0"/>
          <w:numId w:val="7"/>
        </w:numPr>
        <w:rPr>
          <w:color w:val="000000"/>
        </w:rPr>
      </w:pPr>
      <w:r w:rsidRPr="008C1B7E">
        <w:t>If</w:t>
      </w:r>
      <w:r w:rsidRPr="008C1B7E">
        <w:rPr>
          <w:spacing w:val="-2"/>
        </w:rPr>
        <w:t xml:space="preserve"> </w:t>
      </w:r>
      <w:r w:rsidRPr="008C1B7E">
        <w:t>a</w:t>
      </w:r>
      <w:r w:rsidRPr="008C1B7E">
        <w:rPr>
          <w:spacing w:val="-3"/>
        </w:rPr>
        <w:t xml:space="preserve"> </w:t>
      </w:r>
      <w:r w:rsidRPr="008C1B7E">
        <w:t>DEC</w:t>
      </w:r>
      <w:r w:rsidRPr="008C1B7E">
        <w:rPr>
          <w:spacing w:val="-3"/>
        </w:rPr>
        <w:t xml:space="preserve"> </w:t>
      </w:r>
      <w:r w:rsidRPr="008C1B7E">
        <w:t>is</w:t>
      </w:r>
      <w:r w:rsidRPr="008C1B7E">
        <w:rPr>
          <w:spacing w:val="-3"/>
        </w:rPr>
        <w:t xml:space="preserve"> </w:t>
      </w:r>
      <w:r w:rsidRPr="008C1B7E">
        <w:t>established</w:t>
      </w:r>
      <w:r w:rsidRPr="008C1B7E">
        <w:rPr>
          <w:spacing w:val="-3"/>
        </w:rPr>
        <w:t xml:space="preserve"> </w:t>
      </w:r>
      <w:r w:rsidRPr="008C1B7E">
        <w:t>in</w:t>
      </w:r>
      <w:r w:rsidRPr="008C1B7E">
        <w:rPr>
          <w:spacing w:val="-3"/>
        </w:rPr>
        <w:t xml:space="preserve"> </w:t>
      </w:r>
      <w:r w:rsidRPr="008C1B7E">
        <w:t>the</w:t>
      </w:r>
      <w:r w:rsidRPr="008C1B7E">
        <w:rPr>
          <w:spacing w:val="-2"/>
        </w:rPr>
        <w:t xml:space="preserve"> </w:t>
      </w:r>
      <w:r w:rsidRPr="008C1B7E">
        <w:t>region,</w:t>
      </w:r>
      <w:r w:rsidRPr="008C1B7E">
        <w:rPr>
          <w:spacing w:val="26"/>
          <w:w w:val="99"/>
        </w:rPr>
        <w:t xml:space="preserve"> </w:t>
      </w:r>
      <w:r w:rsidRPr="008C1B7E">
        <w:t>choose</w:t>
      </w:r>
      <w:r w:rsidRPr="008C1B7E">
        <w:rPr>
          <w:spacing w:val="-4"/>
        </w:rPr>
        <w:t xml:space="preserve"> </w:t>
      </w:r>
      <w:r w:rsidRPr="008C1B7E">
        <w:t>a</w:t>
      </w:r>
      <w:r w:rsidRPr="008C1B7E">
        <w:rPr>
          <w:spacing w:val="-4"/>
        </w:rPr>
        <w:t xml:space="preserve"> </w:t>
      </w:r>
      <w:r w:rsidRPr="008C1B7E">
        <w:t>DEA</w:t>
      </w:r>
      <w:r w:rsidRPr="008C1B7E">
        <w:rPr>
          <w:spacing w:val="-4"/>
        </w:rPr>
        <w:t xml:space="preserve"> </w:t>
      </w:r>
      <w:r w:rsidRPr="008C1B7E">
        <w:rPr>
          <w:spacing w:val="-2"/>
        </w:rPr>
        <w:t>representative</w:t>
      </w:r>
      <w:r w:rsidRPr="008C1B7E">
        <w:rPr>
          <w:spacing w:val="-3"/>
        </w:rPr>
        <w:t xml:space="preserve"> </w:t>
      </w:r>
      <w:r w:rsidRPr="008C1B7E">
        <w:t>who</w:t>
      </w:r>
      <w:r w:rsidRPr="008C1B7E">
        <w:rPr>
          <w:spacing w:val="-3"/>
        </w:rPr>
        <w:t xml:space="preserve"> </w:t>
      </w:r>
      <w:r w:rsidRPr="008C1B7E">
        <w:t>will</w:t>
      </w:r>
      <w:r w:rsidRPr="008C1B7E">
        <w:rPr>
          <w:spacing w:val="-4"/>
        </w:rPr>
        <w:t xml:space="preserve"> </w:t>
      </w:r>
      <w:r w:rsidRPr="008C1B7E">
        <w:t>sit</w:t>
      </w:r>
      <w:r w:rsidRPr="008C1B7E">
        <w:rPr>
          <w:spacing w:val="25"/>
          <w:w w:val="99"/>
        </w:rPr>
        <w:t xml:space="preserve"> </w:t>
      </w:r>
      <w:r w:rsidRPr="008C1B7E">
        <w:t>on</w:t>
      </w:r>
      <w:r w:rsidRPr="008C1B7E">
        <w:rPr>
          <w:spacing w:val="-6"/>
        </w:rPr>
        <w:t xml:space="preserve"> </w:t>
      </w:r>
      <w:r w:rsidRPr="008C1B7E">
        <w:t>the</w:t>
      </w:r>
      <w:r w:rsidRPr="008C1B7E">
        <w:rPr>
          <w:spacing w:val="-5"/>
        </w:rPr>
        <w:t xml:space="preserve"> </w:t>
      </w:r>
      <w:r w:rsidRPr="008C1B7E">
        <w:t>DEC</w:t>
      </w:r>
    </w:p>
    <w:p w:rsidR="005E41F6" w:rsidRPr="008C1B7E" w:rsidRDefault="005E41F6" w:rsidP="00E75F9B">
      <w:pPr>
        <w:pStyle w:val="NoSpacing"/>
        <w:numPr>
          <w:ilvl w:val="0"/>
          <w:numId w:val="7"/>
        </w:numPr>
        <w:rPr>
          <w:color w:val="000000"/>
        </w:rPr>
      </w:pPr>
      <w:r w:rsidRPr="008C1B7E">
        <w:t>Act</w:t>
      </w:r>
      <w:r w:rsidRPr="008C1B7E">
        <w:rPr>
          <w:spacing w:val="-3"/>
        </w:rPr>
        <w:t xml:space="preserve"> </w:t>
      </w:r>
      <w:r w:rsidRPr="008C1B7E">
        <w:t>as liaison between</w:t>
      </w:r>
      <w:r w:rsidRPr="008C1B7E">
        <w:rPr>
          <w:spacing w:val="-3"/>
        </w:rPr>
        <w:t xml:space="preserve"> </w:t>
      </w:r>
      <w:r w:rsidRPr="008C1B7E">
        <w:t>the school</w:t>
      </w:r>
      <w:r w:rsidRPr="008C1B7E">
        <w:rPr>
          <w:spacing w:val="-3"/>
        </w:rPr>
        <w:t xml:space="preserve"> </w:t>
      </w:r>
      <w:r w:rsidRPr="008C1B7E">
        <w:t>and</w:t>
      </w:r>
      <w:r w:rsidRPr="008C1B7E">
        <w:rPr>
          <w:spacing w:val="25"/>
        </w:rPr>
        <w:t xml:space="preserve"> </w:t>
      </w:r>
      <w:r w:rsidRPr="008C1B7E">
        <w:t>community</w:t>
      </w:r>
    </w:p>
    <w:p w:rsidR="005E41F6" w:rsidRPr="00E75F9B" w:rsidRDefault="005E41F6" w:rsidP="00E75F9B">
      <w:pPr>
        <w:pStyle w:val="Heading2"/>
      </w:pPr>
      <w:r w:rsidRPr="00E75F9B">
        <w:t>KEY RESPONSIBILITIES OF THE DECs (ANDYELLOWKNIFE DEAs)</w:t>
      </w:r>
    </w:p>
    <w:p w:rsidR="005E41F6" w:rsidRPr="008C1B7E" w:rsidRDefault="005E41F6" w:rsidP="00E75F9B">
      <w:pPr>
        <w:pStyle w:val="NoSpacing"/>
        <w:numPr>
          <w:ilvl w:val="0"/>
          <w:numId w:val="8"/>
        </w:numPr>
        <w:rPr>
          <w:color w:val="000000"/>
        </w:rPr>
      </w:pPr>
      <w:r w:rsidRPr="008C1B7E">
        <w:t>Hire</w:t>
      </w:r>
      <w:r w:rsidRPr="008C1B7E">
        <w:rPr>
          <w:spacing w:val="-2"/>
        </w:rPr>
        <w:t xml:space="preserve"> </w:t>
      </w:r>
      <w:r w:rsidRPr="008C1B7E">
        <w:t>the</w:t>
      </w:r>
      <w:r w:rsidRPr="008C1B7E">
        <w:rPr>
          <w:spacing w:val="-2"/>
        </w:rPr>
        <w:t xml:space="preserve"> </w:t>
      </w:r>
      <w:r w:rsidRPr="008C1B7E">
        <w:t>Superintendent</w:t>
      </w:r>
      <w:r w:rsidRPr="008C1B7E">
        <w:rPr>
          <w:spacing w:val="-3"/>
        </w:rPr>
        <w:t xml:space="preserve"> </w:t>
      </w:r>
      <w:r w:rsidRPr="008C1B7E">
        <w:t>as</w:t>
      </w:r>
      <w:r w:rsidRPr="008C1B7E">
        <w:rPr>
          <w:spacing w:val="-2"/>
        </w:rPr>
        <w:t xml:space="preserve"> </w:t>
      </w:r>
      <w:r w:rsidRPr="008C1B7E">
        <w:t xml:space="preserve">their </w:t>
      </w:r>
      <w:r w:rsidRPr="008C1B7E">
        <w:rPr>
          <w:spacing w:val="-2"/>
        </w:rPr>
        <w:t>only</w:t>
      </w:r>
      <w:r>
        <w:rPr>
          <w:spacing w:val="-2"/>
        </w:rPr>
        <w:t xml:space="preserve"> </w:t>
      </w:r>
      <w:r w:rsidRPr="008C1B7E">
        <w:rPr>
          <w:spacing w:val="-2"/>
        </w:rPr>
        <w:t>employee</w:t>
      </w:r>
    </w:p>
    <w:p w:rsidR="005E41F6" w:rsidRPr="008C1B7E" w:rsidRDefault="005E41F6" w:rsidP="00E75F9B">
      <w:pPr>
        <w:pStyle w:val="NoSpacing"/>
        <w:numPr>
          <w:ilvl w:val="0"/>
          <w:numId w:val="8"/>
        </w:numPr>
        <w:rPr>
          <w:color w:val="000000"/>
        </w:rPr>
      </w:pPr>
      <w:r w:rsidRPr="008C1B7E">
        <w:t>Establish goals, objectives and local policy</w:t>
      </w:r>
      <w:r w:rsidRPr="008C1B7E">
        <w:rPr>
          <w:spacing w:val="24"/>
        </w:rPr>
        <w:t xml:space="preserve"> </w:t>
      </w:r>
      <w:r w:rsidRPr="008C1B7E">
        <w:t>for</w:t>
      </w:r>
      <w:r w:rsidRPr="008C1B7E">
        <w:rPr>
          <w:spacing w:val="-5"/>
        </w:rPr>
        <w:t xml:space="preserve"> </w:t>
      </w:r>
      <w:r w:rsidRPr="008C1B7E">
        <w:t>the</w:t>
      </w:r>
      <w:r w:rsidRPr="008C1B7E">
        <w:rPr>
          <w:spacing w:val="-5"/>
        </w:rPr>
        <w:t xml:space="preserve"> </w:t>
      </w:r>
      <w:r w:rsidRPr="008C1B7E">
        <w:t>DEC</w:t>
      </w:r>
    </w:p>
    <w:p w:rsidR="005E41F6" w:rsidRPr="008C1B7E" w:rsidRDefault="005E41F6" w:rsidP="00E75F9B">
      <w:pPr>
        <w:pStyle w:val="NoSpacing"/>
        <w:numPr>
          <w:ilvl w:val="0"/>
          <w:numId w:val="8"/>
        </w:numPr>
        <w:rPr>
          <w:color w:val="000000"/>
        </w:rPr>
      </w:pPr>
      <w:r w:rsidRPr="008C1B7E">
        <w:rPr>
          <w:spacing w:val="-2"/>
        </w:rPr>
        <w:t>Make</w:t>
      </w:r>
      <w:r w:rsidRPr="008C1B7E">
        <w:t xml:space="preserve"> budgetary decisions</w:t>
      </w:r>
    </w:p>
    <w:p w:rsidR="005E41F6" w:rsidRPr="008C1B7E" w:rsidRDefault="005E41F6" w:rsidP="00E75F9B">
      <w:pPr>
        <w:pStyle w:val="NoSpacing"/>
        <w:numPr>
          <w:ilvl w:val="0"/>
          <w:numId w:val="8"/>
        </w:numPr>
        <w:rPr>
          <w:color w:val="000000"/>
        </w:rPr>
      </w:pPr>
      <w:r w:rsidRPr="008C1B7E">
        <w:rPr>
          <w:spacing w:val="-2"/>
        </w:rPr>
        <w:t xml:space="preserve">Operate </w:t>
      </w:r>
      <w:r w:rsidRPr="008C1B7E">
        <w:t>within</w:t>
      </w:r>
      <w:r w:rsidRPr="008C1B7E">
        <w:rPr>
          <w:spacing w:val="-2"/>
        </w:rPr>
        <w:t xml:space="preserve"> federal, </w:t>
      </w:r>
      <w:r w:rsidRPr="008C1B7E">
        <w:t>territorial</w:t>
      </w:r>
      <w:r w:rsidRPr="008C1B7E">
        <w:rPr>
          <w:spacing w:val="-2"/>
        </w:rPr>
        <w:t xml:space="preserve"> </w:t>
      </w:r>
      <w:r w:rsidRPr="008C1B7E">
        <w:t>and</w:t>
      </w:r>
      <w:r w:rsidRPr="008C1B7E">
        <w:rPr>
          <w:spacing w:val="36"/>
        </w:rPr>
        <w:t xml:space="preserve"> </w:t>
      </w:r>
      <w:r w:rsidRPr="008C1B7E">
        <w:t>municipal</w:t>
      </w:r>
      <w:r w:rsidRPr="008C1B7E">
        <w:rPr>
          <w:spacing w:val="-2"/>
        </w:rPr>
        <w:t xml:space="preserve"> laws</w:t>
      </w:r>
    </w:p>
    <w:p w:rsidR="005E41F6" w:rsidRPr="008C1B7E" w:rsidRDefault="005E41F6" w:rsidP="00E75F9B">
      <w:pPr>
        <w:pStyle w:val="NoSpacing"/>
        <w:numPr>
          <w:ilvl w:val="0"/>
          <w:numId w:val="8"/>
        </w:numPr>
        <w:rPr>
          <w:color w:val="000000"/>
        </w:rPr>
      </w:pPr>
      <w:r w:rsidRPr="008C1B7E">
        <w:rPr>
          <w:spacing w:val="-2"/>
        </w:rPr>
        <w:t xml:space="preserve">Only </w:t>
      </w:r>
      <w:r w:rsidRPr="008C1B7E">
        <w:t>the</w:t>
      </w:r>
      <w:r w:rsidRPr="008C1B7E">
        <w:rPr>
          <w:spacing w:val="-2"/>
        </w:rPr>
        <w:t xml:space="preserve"> </w:t>
      </w:r>
      <w:r w:rsidRPr="008C1B7E">
        <w:t>Chairperson</w:t>
      </w:r>
      <w:r w:rsidRPr="008C1B7E">
        <w:rPr>
          <w:spacing w:val="-3"/>
        </w:rPr>
        <w:t xml:space="preserve"> </w:t>
      </w:r>
      <w:r w:rsidRPr="008C1B7E">
        <w:t>communicates</w:t>
      </w:r>
      <w:r w:rsidRPr="008C1B7E">
        <w:rPr>
          <w:spacing w:val="-2"/>
        </w:rPr>
        <w:t xml:space="preserve"> </w:t>
      </w:r>
      <w:r w:rsidRPr="008C1B7E">
        <w:t>with</w:t>
      </w:r>
      <w:r w:rsidRPr="008C1B7E">
        <w:rPr>
          <w:spacing w:val="22"/>
        </w:rPr>
        <w:t xml:space="preserve"> </w:t>
      </w:r>
      <w:r w:rsidRPr="008C1B7E">
        <w:t>the</w:t>
      </w:r>
      <w:r w:rsidRPr="008C1B7E">
        <w:rPr>
          <w:spacing w:val="-4"/>
        </w:rPr>
        <w:t xml:space="preserve"> </w:t>
      </w:r>
      <w:r w:rsidRPr="008C1B7E">
        <w:t>Minister</w:t>
      </w:r>
      <w:r w:rsidRPr="008C1B7E">
        <w:rPr>
          <w:spacing w:val="-4"/>
        </w:rPr>
        <w:t xml:space="preserve"> </w:t>
      </w:r>
      <w:r w:rsidRPr="008C1B7E">
        <w:t>of</w:t>
      </w:r>
      <w:r w:rsidRPr="008C1B7E">
        <w:rPr>
          <w:spacing w:val="-3"/>
        </w:rPr>
        <w:t xml:space="preserve"> </w:t>
      </w:r>
      <w:r w:rsidRPr="008C1B7E">
        <w:t>ECE</w:t>
      </w:r>
    </w:p>
    <w:p w:rsidR="005E41F6" w:rsidRDefault="005E41F6" w:rsidP="005E41F6">
      <w:pPr>
        <w:autoSpaceDE w:val="0"/>
        <w:autoSpaceDN w:val="0"/>
        <w:adjustRightInd w:val="0"/>
        <w:rPr>
          <w:rFonts w:cs="Cambria"/>
          <w:color w:val="000000"/>
          <w:sz w:val="28"/>
          <w:szCs w:val="28"/>
        </w:rPr>
      </w:pPr>
    </w:p>
    <w:p w:rsidR="005E41F6" w:rsidRDefault="005E41F6" w:rsidP="00E75F9B">
      <w:pPr>
        <w:pStyle w:val="Heading2"/>
      </w:pPr>
      <w:r w:rsidRPr="0049360B">
        <w:lastRenderedPageBreak/>
        <w:t>GOVERNANCE</w:t>
      </w:r>
      <w:r w:rsidRPr="0049360B">
        <w:rPr>
          <w:spacing w:val="17"/>
        </w:rPr>
        <w:t xml:space="preserve"> </w:t>
      </w:r>
      <w:r w:rsidRPr="0049360B">
        <w:rPr>
          <w:spacing w:val="10"/>
        </w:rPr>
        <w:t>AND</w:t>
      </w:r>
      <w:r w:rsidRPr="0049360B">
        <w:rPr>
          <w:spacing w:val="17"/>
        </w:rPr>
        <w:t xml:space="preserve"> </w:t>
      </w:r>
      <w:r w:rsidRPr="0049360B">
        <w:rPr>
          <w:spacing w:val="15"/>
        </w:rPr>
        <w:t>ADMIN</w:t>
      </w:r>
      <w:r w:rsidRPr="0049360B">
        <w:rPr>
          <w:spacing w:val="17"/>
        </w:rPr>
        <w:t>IS</w:t>
      </w:r>
      <w:r w:rsidRPr="0049360B">
        <w:rPr>
          <w:spacing w:val="16"/>
        </w:rPr>
        <w:t>T</w:t>
      </w:r>
      <w:r w:rsidRPr="0049360B">
        <w:rPr>
          <w:spacing w:val="24"/>
        </w:rPr>
        <w:t>R</w:t>
      </w:r>
      <w:r w:rsidRPr="0049360B">
        <w:rPr>
          <w:spacing w:val="-11"/>
        </w:rPr>
        <w:t>A</w:t>
      </w:r>
      <w:r w:rsidRPr="0049360B">
        <w:rPr>
          <w:spacing w:val="16"/>
        </w:rPr>
        <w:t>TI</w:t>
      </w:r>
      <w:r w:rsidRPr="0049360B">
        <w:rPr>
          <w:spacing w:val="15"/>
        </w:rPr>
        <w:t>O</w:t>
      </w:r>
      <w:r w:rsidRPr="0049360B">
        <w:t>N</w:t>
      </w:r>
      <w:r w:rsidRPr="0049360B">
        <w:rPr>
          <w:spacing w:val="8"/>
        </w:rPr>
        <w:t xml:space="preserve"> </w:t>
      </w:r>
      <w:r w:rsidRPr="0049360B">
        <w:t>–</w:t>
      </w:r>
      <w:r w:rsidR="00E75F9B">
        <w:t xml:space="preserve"> </w:t>
      </w:r>
      <w:r w:rsidRPr="0049360B">
        <w:rPr>
          <w:spacing w:val="8"/>
        </w:rPr>
        <w:t>HOW</w:t>
      </w:r>
      <w:r w:rsidRPr="0049360B">
        <w:rPr>
          <w:spacing w:val="17"/>
        </w:rPr>
        <w:t xml:space="preserve"> </w:t>
      </w:r>
      <w:r w:rsidRPr="0049360B">
        <w:rPr>
          <w:spacing w:val="9"/>
        </w:rPr>
        <w:t>ARE</w:t>
      </w:r>
      <w:r w:rsidRPr="0049360B">
        <w:rPr>
          <w:spacing w:val="17"/>
        </w:rPr>
        <w:t xml:space="preserve"> </w:t>
      </w:r>
      <w:r w:rsidRPr="0049360B">
        <w:t>THEY</w:t>
      </w:r>
      <w:r w:rsidRPr="0049360B">
        <w:rPr>
          <w:spacing w:val="17"/>
        </w:rPr>
        <w:t xml:space="preserve"> </w:t>
      </w:r>
      <w:r w:rsidRPr="0049360B">
        <w:t>DIFFERENT?</w:t>
      </w:r>
    </w:p>
    <w:p w:rsidR="005E41F6" w:rsidRPr="00482325" w:rsidRDefault="005E41F6" w:rsidP="00E75F9B">
      <w:pPr>
        <w:pStyle w:val="NormalText"/>
      </w:pPr>
      <w:r w:rsidRPr="00482325">
        <w:t>There is an important difference between governance and administration and how these roles are carried out by DEA and DEC members or the Superintendent and Principals.</w:t>
      </w:r>
    </w:p>
    <w:p w:rsidR="005E41F6" w:rsidRPr="00657A71" w:rsidRDefault="005E41F6" w:rsidP="005E41F6">
      <w:pPr>
        <w:autoSpaceDE w:val="0"/>
        <w:autoSpaceDN w:val="0"/>
        <w:adjustRightInd w:val="0"/>
        <w:rPr>
          <w:rFonts w:cs="Cambr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4430B43" wp14:editId="3B13CC67">
            <wp:extent cx="5943600" cy="6499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F6" w:rsidRPr="00D576AC" w:rsidRDefault="005E41F6" w:rsidP="00E75F9B">
      <w:pPr>
        <w:pStyle w:val="Heading2"/>
      </w:pPr>
      <w:r w:rsidRPr="00D576AC">
        <w:t>HIRING AND EVALUATING EDUCATION STAFF</w:t>
      </w:r>
    </w:p>
    <w:p w:rsidR="005E41F6" w:rsidRPr="00D576AC" w:rsidRDefault="005E41F6" w:rsidP="00E75F9B">
      <w:pPr>
        <w:pStyle w:val="NormalText"/>
      </w:pPr>
      <w:r w:rsidRPr="00D576AC">
        <w:t>The DEC is responsible for hiring, supervising and evaluating the Superintendent.</w:t>
      </w:r>
    </w:p>
    <w:p w:rsidR="005E41F6" w:rsidRPr="00D576AC" w:rsidRDefault="005E41F6" w:rsidP="00E75F9B">
      <w:pPr>
        <w:pStyle w:val="NormalText"/>
      </w:pPr>
      <w:r w:rsidRPr="00D576AC">
        <w:t>Hiring practices vary between regions. Many establis</w:t>
      </w:r>
      <w:r>
        <w:t xml:space="preserve">h a hiring committee, which may </w:t>
      </w:r>
      <w:r w:rsidRPr="00D576AC">
        <w:t>include:</w:t>
      </w:r>
    </w:p>
    <w:p w:rsidR="005E41F6" w:rsidRPr="00D576AC" w:rsidRDefault="005E41F6" w:rsidP="00E75F9B">
      <w:pPr>
        <w:pStyle w:val="NoSpacing"/>
        <w:numPr>
          <w:ilvl w:val="0"/>
          <w:numId w:val="9"/>
        </w:numPr>
      </w:pPr>
      <w:r w:rsidRPr="00D576AC">
        <w:t>Superintendent</w:t>
      </w:r>
    </w:p>
    <w:p w:rsidR="005E41F6" w:rsidRPr="00D576AC" w:rsidRDefault="005E41F6" w:rsidP="00E75F9B">
      <w:pPr>
        <w:pStyle w:val="NoSpacing"/>
        <w:numPr>
          <w:ilvl w:val="0"/>
          <w:numId w:val="9"/>
        </w:numPr>
      </w:pPr>
      <w:r w:rsidRPr="00D576AC">
        <w:t>Principal/Vice-Principal</w:t>
      </w:r>
    </w:p>
    <w:p w:rsidR="005E41F6" w:rsidRPr="00D576AC" w:rsidRDefault="005E41F6" w:rsidP="00E75F9B">
      <w:pPr>
        <w:pStyle w:val="NoSpacing"/>
        <w:numPr>
          <w:ilvl w:val="0"/>
          <w:numId w:val="9"/>
        </w:numPr>
      </w:pPr>
      <w:r w:rsidRPr="00D576AC">
        <w:t>DEA/DEC member</w:t>
      </w:r>
    </w:p>
    <w:p w:rsidR="005E41F6" w:rsidRPr="00D576AC" w:rsidRDefault="005E41F6" w:rsidP="00E75F9B">
      <w:pPr>
        <w:pStyle w:val="NormalText"/>
        <w:numPr>
          <w:ilvl w:val="0"/>
          <w:numId w:val="9"/>
        </w:numPr>
      </w:pPr>
      <w:r w:rsidRPr="00D576AC">
        <w:t>Human Resources representative</w:t>
      </w:r>
    </w:p>
    <w:p w:rsidR="005E41F6" w:rsidRDefault="005E41F6" w:rsidP="00E75F9B">
      <w:pPr>
        <w:pStyle w:val="NormalText"/>
      </w:pPr>
      <w:r w:rsidRPr="00D576AC">
        <w:t>The DEA</w:t>
      </w:r>
      <w:r>
        <w:t xml:space="preserve"> does not supervise or evaluate </w:t>
      </w:r>
      <w:r w:rsidRPr="00D576AC">
        <w:t>school staff</w:t>
      </w:r>
      <w:r w:rsidR="00E75F9B">
        <w:t xml:space="preserve"> (Fi</w:t>
      </w:r>
      <w:r>
        <w:t>gure 3</w:t>
      </w:r>
      <w:r w:rsidR="00E75F9B">
        <w:t>)</w:t>
      </w:r>
      <w:r>
        <w:t>.</w:t>
      </w:r>
    </w:p>
    <w:p w:rsidR="00E75F9B" w:rsidRDefault="005E41F6" w:rsidP="00E75F9B">
      <w:pPr>
        <w:autoSpaceDE w:val="0"/>
        <w:autoSpaceDN w:val="0"/>
        <w:adjustRightInd w:val="0"/>
        <w:rPr>
          <w:rFonts w:ascii="Calibri" w:eastAsiaTheme="majorEastAsia" w:hAnsi="Calibri" w:cstheme="majorBidi"/>
          <w:b/>
          <w:bCs/>
          <w:noProof/>
          <w:color w:val="A6A6A6" w:themeColor="background1" w:themeShade="A6"/>
          <w:sz w:val="40"/>
          <w:szCs w:val="26"/>
        </w:rPr>
      </w:pPr>
      <w:r>
        <w:rPr>
          <w:noProof/>
        </w:rPr>
        <w:drawing>
          <wp:inline distT="0" distB="0" distL="0" distR="0" wp14:anchorId="3E3948EE" wp14:editId="36AFA69B">
            <wp:extent cx="5943600" cy="4266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F9B">
        <w:br w:type="page"/>
      </w:r>
    </w:p>
    <w:p w:rsidR="005E41F6" w:rsidRPr="003F4F8D" w:rsidRDefault="005E41F6" w:rsidP="00E75F9B">
      <w:pPr>
        <w:pStyle w:val="Heading2"/>
      </w:pPr>
      <w:r w:rsidRPr="003F4F8D">
        <w:t>LINES OF COMMUNICATION</w:t>
      </w:r>
    </w:p>
    <w:p w:rsidR="005E41F6" w:rsidRDefault="005E41F6" w:rsidP="00E75F9B">
      <w:pPr>
        <w:pStyle w:val="NormalText"/>
        <w:rPr>
          <w:rFonts w:ascii="Cambria-Italic" w:hAnsi="Cambria-Italic" w:cs="Cambria-Italic"/>
          <w:i/>
          <w:iCs/>
        </w:rPr>
      </w:pPr>
      <w:r w:rsidRPr="003F4F8D">
        <w:t>Open and respectful communication between all membe</w:t>
      </w:r>
      <w:r>
        <w:t xml:space="preserve">rs is very important. There are </w:t>
      </w:r>
      <w:r w:rsidRPr="003F4F8D">
        <w:rPr>
          <w:rFonts w:ascii="Cambria-Bold" w:hAnsi="Cambria-Bold" w:cs="Cambria-Bold"/>
          <w:b/>
          <w:bCs/>
        </w:rPr>
        <w:t xml:space="preserve">protocols </w:t>
      </w:r>
      <w:r w:rsidRPr="003F4F8D">
        <w:t>(rules) which must be used when communicating beyond the DEA/DE</w:t>
      </w:r>
      <w:r w:rsidRPr="00E75F9B">
        <w:t xml:space="preserve">C </w:t>
      </w:r>
      <w:r w:rsidRPr="00E75F9B">
        <w:rPr>
          <w:rFonts w:ascii="Cambria-Italic" w:hAnsi="Cambria-Italic" w:cs="Cambria-Italic"/>
          <w:iCs/>
        </w:rPr>
        <w:t>(Figure 2).</w:t>
      </w:r>
    </w:p>
    <w:p w:rsidR="00F6041B" w:rsidRPr="00F6041B" w:rsidRDefault="005E41F6" w:rsidP="00E75F9B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14EEC040" wp14:editId="2652233B">
            <wp:extent cx="5800725" cy="5591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41B" w:rsidRPr="00F6041B" w:rsidSect="008E3587">
      <w:footerReference w:type="default" r:id="rId14"/>
      <w:pgSz w:w="12240" w:h="15840"/>
      <w:pgMar w:top="1728" w:right="1440" w:bottom="1440" w:left="25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1AA" w:rsidRDefault="00A041AA" w:rsidP="00A041AA">
      <w:pPr>
        <w:spacing w:after="0" w:line="240" w:lineRule="auto"/>
      </w:pPr>
      <w:r>
        <w:separator/>
      </w:r>
    </w:p>
  </w:endnote>
  <w:endnote w:type="continuationSeparator" w:id="0">
    <w:p w:rsidR="00A041AA" w:rsidRDefault="00A041AA" w:rsidP="00A0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1AA" w:rsidRDefault="00A041A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-1648460</wp:posOffset>
          </wp:positionH>
          <wp:positionV relativeFrom="paragraph">
            <wp:posOffset>-280162</wp:posOffset>
          </wp:positionV>
          <wp:extent cx="7851648" cy="754820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NWT Masthead top_BLK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1648" cy="75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1AA" w:rsidRDefault="00A041AA" w:rsidP="00A041AA">
      <w:pPr>
        <w:spacing w:after="0" w:line="240" w:lineRule="auto"/>
      </w:pPr>
      <w:r>
        <w:separator/>
      </w:r>
    </w:p>
  </w:footnote>
  <w:footnote w:type="continuationSeparator" w:id="0">
    <w:p w:rsidR="00A041AA" w:rsidRDefault="00A041AA" w:rsidP="00A04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F4BD6"/>
    <w:multiLevelType w:val="hybridMultilevel"/>
    <w:tmpl w:val="50B80028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>
    <w:nsid w:val="19CD1263"/>
    <w:multiLevelType w:val="hybridMultilevel"/>
    <w:tmpl w:val="134241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70551E"/>
    <w:multiLevelType w:val="hybridMultilevel"/>
    <w:tmpl w:val="AD0898AE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>
    <w:nsid w:val="3ECF44D8"/>
    <w:multiLevelType w:val="hybridMultilevel"/>
    <w:tmpl w:val="BF06E8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82EE0"/>
    <w:multiLevelType w:val="hybridMultilevel"/>
    <w:tmpl w:val="88A214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826388"/>
    <w:multiLevelType w:val="hybridMultilevel"/>
    <w:tmpl w:val="51EC63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BD3676"/>
    <w:multiLevelType w:val="hybridMultilevel"/>
    <w:tmpl w:val="46B63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32776B"/>
    <w:multiLevelType w:val="hybridMultilevel"/>
    <w:tmpl w:val="B4141604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8">
    <w:nsid w:val="7AAA1644"/>
    <w:multiLevelType w:val="hybridMultilevel"/>
    <w:tmpl w:val="B5A2A5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62"/>
    <w:rsid w:val="00200662"/>
    <w:rsid w:val="005E41F6"/>
    <w:rsid w:val="00733872"/>
    <w:rsid w:val="008E3587"/>
    <w:rsid w:val="00A041AA"/>
    <w:rsid w:val="00D55CE4"/>
    <w:rsid w:val="00E75F9B"/>
    <w:rsid w:val="00F6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6041B"/>
    <w:rPr>
      <w:rFonts w:ascii="Cambria" w:hAnsi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041B"/>
    <w:pPr>
      <w:spacing w:after="0"/>
      <w:outlineLvl w:val="0"/>
    </w:pPr>
    <w:rPr>
      <w:rFonts w:ascii="Calibri" w:hAnsi="Calibri"/>
      <w:b/>
      <w:noProof/>
      <w:color w:val="808080" w:themeColor="background1" w:themeShade="80"/>
      <w:sz w:val="80"/>
      <w:szCs w:val="8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E3587"/>
    <w:pPr>
      <w:keepNext/>
      <w:keepLines/>
      <w:spacing w:before="360"/>
      <w:outlineLvl w:val="1"/>
    </w:pPr>
    <w:rPr>
      <w:rFonts w:eastAsiaTheme="majorEastAsia" w:cstheme="majorBidi"/>
      <w:bCs/>
      <w:color w:val="A6A6A6" w:themeColor="background1" w:themeShade="A6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F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6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6041B"/>
    <w:rPr>
      <w:rFonts w:ascii="Calibri" w:hAnsi="Calibri"/>
      <w:b/>
      <w:noProof/>
      <w:color w:val="808080" w:themeColor="background1" w:themeShade="80"/>
      <w:sz w:val="80"/>
      <w:szCs w:val="80"/>
    </w:rPr>
  </w:style>
  <w:style w:type="paragraph" w:customStyle="1" w:styleId="NormalText">
    <w:name w:val="Normal Text"/>
    <w:basedOn w:val="Normal"/>
    <w:link w:val="NormalTextChar"/>
    <w:qFormat/>
    <w:rsid w:val="00F6041B"/>
    <w:pPr>
      <w:spacing w:line="300" w:lineRule="exact"/>
    </w:pPr>
    <w:rPr>
      <w:sz w:val="23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rsid w:val="008E3587"/>
    <w:rPr>
      <w:rFonts w:ascii="Calibri" w:eastAsiaTheme="majorEastAsia" w:hAnsi="Calibri" w:cstheme="majorBidi"/>
      <w:b/>
      <w:bCs/>
      <w:noProof/>
      <w:color w:val="A6A6A6" w:themeColor="background1" w:themeShade="A6"/>
      <w:sz w:val="40"/>
      <w:szCs w:val="26"/>
    </w:rPr>
  </w:style>
  <w:style w:type="character" w:customStyle="1" w:styleId="NormalTextChar">
    <w:name w:val="Normal Text Char"/>
    <w:basedOn w:val="DefaultParagraphFont"/>
    <w:link w:val="NormalText"/>
    <w:rsid w:val="00F6041B"/>
    <w:rPr>
      <w:rFonts w:ascii="Cambria" w:hAnsi="Cambria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A04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1AA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A04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1AA"/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5E41F6"/>
    <w:pPr>
      <w:spacing w:after="0" w:line="240" w:lineRule="auto"/>
      <w:ind w:left="720"/>
      <w:contextualSpacing/>
    </w:pPr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E75F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E75F9B"/>
    <w:pPr>
      <w:spacing w:after="0" w:line="240" w:lineRule="auto"/>
    </w:pPr>
    <w:rPr>
      <w:rFonts w:ascii="Cambria" w:hAnsi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6041B"/>
    <w:rPr>
      <w:rFonts w:ascii="Cambria" w:hAnsi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041B"/>
    <w:pPr>
      <w:spacing w:after="0"/>
      <w:outlineLvl w:val="0"/>
    </w:pPr>
    <w:rPr>
      <w:rFonts w:ascii="Calibri" w:hAnsi="Calibri"/>
      <w:b/>
      <w:noProof/>
      <w:color w:val="808080" w:themeColor="background1" w:themeShade="80"/>
      <w:sz w:val="80"/>
      <w:szCs w:val="8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E3587"/>
    <w:pPr>
      <w:keepNext/>
      <w:keepLines/>
      <w:spacing w:before="360"/>
      <w:outlineLvl w:val="1"/>
    </w:pPr>
    <w:rPr>
      <w:rFonts w:eastAsiaTheme="majorEastAsia" w:cstheme="majorBidi"/>
      <w:bCs/>
      <w:color w:val="A6A6A6" w:themeColor="background1" w:themeShade="A6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F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6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6041B"/>
    <w:rPr>
      <w:rFonts w:ascii="Calibri" w:hAnsi="Calibri"/>
      <w:b/>
      <w:noProof/>
      <w:color w:val="808080" w:themeColor="background1" w:themeShade="80"/>
      <w:sz w:val="80"/>
      <w:szCs w:val="80"/>
    </w:rPr>
  </w:style>
  <w:style w:type="paragraph" w:customStyle="1" w:styleId="NormalText">
    <w:name w:val="Normal Text"/>
    <w:basedOn w:val="Normal"/>
    <w:link w:val="NormalTextChar"/>
    <w:qFormat/>
    <w:rsid w:val="00F6041B"/>
    <w:pPr>
      <w:spacing w:line="300" w:lineRule="exact"/>
    </w:pPr>
    <w:rPr>
      <w:sz w:val="23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rsid w:val="008E3587"/>
    <w:rPr>
      <w:rFonts w:ascii="Calibri" w:eastAsiaTheme="majorEastAsia" w:hAnsi="Calibri" w:cstheme="majorBidi"/>
      <w:b/>
      <w:bCs/>
      <w:noProof/>
      <w:color w:val="A6A6A6" w:themeColor="background1" w:themeShade="A6"/>
      <w:sz w:val="40"/>
      <w:szCs w:val="26"/>
    </w:rPr>
  </w:style>
  <w:style w:type="character" w:customStyle="1" w:styleId="NormalTextChar">
    <w:name w:val="Normal Text Char"/>
    <w:basedOn w:val="DefaultParagraphFont"/>
    <w:link w:val="NormalText"/>
    <w:rsid w:val="00F6041B"/>
    <w:rPr>
      <w:rFonts w:ascii="Cambria" w:hAnsi="Cambria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A04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1AA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A04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1AA"/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5E41F6"/>
    <w:pPr>
      <w:spacing w:after="0" w:line="240" w:lineRule="auto"/>
      <w:ind w:left="720"/>
      <w:contextualSpacing/>
    </w:pPr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E75F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E75F9B"/>
    <w:pPr>
      <w:spacing w:after="0" w:line="240" w:lineRule="auto"/>
    </w:pPr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3365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GNWT</Company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George</dc:creator>
  <cp:lastModifiedBy>Colleen Eckert</cp:lastModifiedBy>
  <cp:revision>2</cp:revision>
  <cp:lastPrinted>2017-08-14T20:57:00Z</cp:lastPrinted>
  <dcterms:created xsi:type="dcterms:W3CDTF">2017-08-24T00:42:00Z</dcterms:created>
  <dcterms:modified xsi:type="dcterms:W3CDTF">2017-08-24T00:42:00Z</dcterms:modified>
</cp:coreProperties>
</file>